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F3" w:rsidRDefault="008A36F3" w:rsidP="008A36F3">
      <w:pPr>
        <w:autoSpaceDE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A36F3" w:rsidRDefault="008A36F3" w:rsidP="008A36F3">
      <w:pPr>
        <w:pStyle w:val="a0"/>
      </w:pPr>
      <w:r>
        <w:rPr>
          <w:rFonts w:hint="eastAsia"/>
        </w:rPr>
        <w:t xml:space="preserve"> </w:t>
      </w:r>
    </w:p>
    <w:p w:rsidR="008A36F3" w:rsidRDefault="008A36F3" w:rsidP="008A36F3">
      <w:pPr>
        <w:pStyle w:val="a0"/>
        <w:autoSpaceDE w:val="0"/>
        <w:spacing w:line="64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黑龙江省青年科技人才托举工程项目管理办法（试行）</w:t>
      </w:r>
    </w:p>
    <w:p w:rsidR="008A36F3" w:rsidRDefault="008A36F3" w:rsidP="008A36F3">
      <w:pPr>
        <w:pStyle w:val="a0"/>
        <w:autoSpaceDE w:val="0"/>
        <w:spacing w:after="0" w:line="64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:rsidR="008A36F3" w:rsidRDefault="008A36F3" w:rsidP="008A36F3">
      <w:pPr>
        <w:pStyle w:val="a0"/>
        <w:autoSpaceDE w:val="0"/>
        <w:spacing w:after="0" w:line="560" w:lineRule="exact"/>
        <w:jc w:val="center"/>
        <w:rPr>
          <w:rFonts w:ascii="CESI黑体-GB13000" w:hAnsi="CESI黑体-GB13000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第一章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CESI黑体-GB13000" w:hAnsi="CESI黑体-GB13000"/>
          <w:sz w:val="32"/>
          <w:szCs w:val="32"/>
        </w:rPr>
        <w:t>总则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方正仿宋_GBK" w:hAnsi="方正仿宋_GBK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第一条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CESI仿宋-GB2312" w:hAnsi="CESI仿宋-GB2312"/>
          <w:color w:val="000000"/>
          <w:kern w:val="0"/>
          <w:sz w:val="32"/>
          <w:szCs w:val="32"/>
        </w:rPr>
        <w:t>为深入贯彻习近平总书记关于做好新时代人才工作的重要思想，全面落实中央和省委人才工作会议精神，</w:t>
      </w:r>
      <w:r>
        <w:rPr>
          <w:rFonts w:ascii="方正仿宋_GBK" w:hAnsi="方正仿宋_GBK"/>
          <w:sz w:val="32"/>
          <w:szCs w:val="32"/>
        </w:rPr>
        <w:t>进一步加强我省高层次科技创新后备人才队伍建设，规范黑龙江省青年科技人才托举工程（以下简称托举工程）项目实施，制定本办法。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第二条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托举工程的宗旨是探索创新青年科技人才选拔培养机制，遴选具有较强创新能力和发展潜力的优秀青年科技人才，支持他们在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科研黄金期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潜心研究、深入探索，激发他们的创新热情和创造活力，尽快成长为我省高层次科技创新人才的后备力量。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第三条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托举工程是由黑龙江省科协组织实施的人才联系服务项目。托举工程人选在全省范围内进行选拔，每年选拔一批，每批人数不超过</w:t>
      </w:r>
      <w:r>
        <w:rPr>
          <w:rFonts w:ascii="仿宋_GB2312" w:hAnsi="仿宋_GB2312"/>
          <w:sz w:val="32"/>
          <w:szCs w:val="32"/>
        </w:rPr>
        <w:t>20</w:t>
      </w:r>
      <w:r>
        <w:rPr>
          <w:rFonts w:ascii="仿宋_GB2312" w:hAnsi="仿宋_GB2312"/>
          <w:sz w:val="32"/>
          <w:szCs w:val="32"/>
        </w:rPr>
        <w:t>名，托举培养周期为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年。</w:t>
      </w:r>
    </w:p>
    <w:p w:rsidR="008A36F3" w:rsidRDefault="008A36F3" w:rsidP="008A36F3">
      <w:pPr>
        <w:pStyle w:val="a0"/>
        <w:autoSpaceDE w:val="0"/>
        <w:spacing w:after="0" w:line="560" w:lineRule="exact"/>
        <w:jc w:val="center"/>
        <w:rPr>
          <w:rFonts w:ascii="CESI黑体-GB13000" w:hAnsi="CESI黑体-GB13000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第二章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CESI黑体-GB13000" w:hAnsi="CESI黑体-GB13000"/>
          <w:sz w:val="32"/>
          <w:szCs w:val="32"/>
        </w:rPr>
        <w:t>人选条件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第四条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托举工程人选应具备以下条件：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（一）拥护党的路线、方针、政策，热爱祖国，遵纪守法，恪守科研诚信规范，具有优良学风；具有创新、求实、协作、奉献的科学精神。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（二）年龄在</w:t>
      </w:r>
      <w:r>
        <w:rPr>
          <w:rFonts w:ascii="仿宋_GB2312" w:hAnsi="仿宋_GB2312"/>
          <w:sz w:val="32"/>
          <w:szCs w:val="32"/>
        </w:rPr>
        <w:t>32</w:t>
      </w:r>
      <w:r>
        <w:rPr>
          <w:rFonts w:ascii="仿宋_GB2312" w:hAnsi="仿宋_GB2312"/>
          <w:sz w:val="32"/>
          <w:szCs w:val="32"/>
        </w:rPr>
        <w:t>周岁（含）以下（按推荐年度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日实足年龄计算）的全职在黑龙江省工作的中国籍公民；女性或医学领域的人选年龄可放宽至</w:t>
      </w:r>
      <w:r>
        <w:rPr>
          <w:rFonts w:ascii="仿宋_GB2312" w:hAnsi="仿宋_GB2312"/>
          <w:sz w:val="32"/>
          <w:szCs w:val="32"/>
        </w:rPr>
        <w:t>35</w:t>
      </w:r>
      <w:r>
        <w:rPr>
          <w:rFonts w:ascii="仿宋_GB2312" w:hAnsi="仿宋_GB2312"/>
          <w:sz w:val="32"/>
          <w:szCs w:val="32"/>
        </w:rPr>
        <w:t>周岁。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（三）具有全日制博士以上学位，在自然科学领域从事基础研究、应用研究、技术研发的一线优秀青年科技工作者。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Chars="200" w:firstLine="640"/>
        <w:rPr>
          <w:rFonts w:ascii="CESI仿宋-GB2312" w:hAnsi="CESI仿宋-GB2312" w:hint="eastAsia"/>
          <w:color w:val="191919"/>
          <w:sz w:val="32"/>
          <w:szCs w:val="32"/>
          <w:shd w:val="clear" w:color="auto" w:fill="FFFFFF"/>
        </w:rPr>
      </w:pPr>
      <w:r>
        <w:rPr>
          <w:rFonts w:ascii="仿宋_GB2312" w:hAnsi="仿宋_GB2312"/>
          <w:sz w:val="32"/>
          <w:szCs w:val="32"/>
        </w:rPr>
        <w:t>（四）具</w:t>
      </w:r>
      <w:r>
        <w:rPr>
          <w:rFonts w:ascii="仿宋_GB2312" w:hAnsi="仿宋_GB2312"/>
          <w:color w:val="191919"/>
          <w:sz w:val="32"/>
          <w:szCs w:val="32"/>
          <w:shd w:val="clear" w:color="auto" w:fill="FFFFFF"/>
        </w:rPr>
        <w:t>有较强的科研创新能力和突出的科研潜质，有独立完成科研项目的能力，有承担或参加国家及行业重点科研项目的经历，或是推荐单位拟重点培养的优秀青年人才。</w:t>
      </w:r>
      <w:r>
        <w:rPr>
          <w:rFonts w:ascii="CESI仿宋-GB2312" w:hAnsi="CESI仿宋-GB2312"/>
          <w:color w:val="191919"/>
          <w:sz w:val="32"/>
          <w:szCs w:val="32"/>
          <w:shd w:val="clear" w:color="auto" w:fill="FFFFFF"/>
        </w:rPr>
        <w:t xml:space="preserve"> 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Chars="200" w:firstLine="640"/>
        <w:rPr>
          <w:rFonts w:ascii="CESI仿宋-GB2312" w:hAnsi="CESI仿宋-GB2312" w:hint="eastAsia"/>
          <w:color w:val="191919"/>
          <w:sz w:val="32"/>
          <w:szCs w:val="32"/>
          <w:shd w:val="clear" w:color="auto" w:fill="FFFFFF"/>
        </w:rPr>
      </w:pPr>
      <w:r>
        <w:rPr>
          <w:rFonts w:ascii="CESI黑体-GB13000" w:hAnsi="CESI黑体-GB13000"/>
          <w:color w:val="191919"/>
          <w:sz w:val="32"/>
          <w:szCs w:val="32"/>
          <w:shd w:val="clear" w:color="auto" w:fill="FFFFFF"/>
        </w:rPr>
        <w:t>第五条</w:t>
      </w:r>
      <w:r>
        <w:rPr>
          <w:rFonts w:ascii="CESI黑体-GB13000" w:hAnsi="CESI黑体-GB13000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CESI仿宋-GB2312" w:hAnsi="CESI仿宋-GB2312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/>
          <w:color w:val="191919"/>
          <w:sz w:val="32"/>
          <w:szCs w:val="32"/>
          <w:shd w:val="clear" w:color="auto" w:fill="FFFFFF"/>
        </w:rPr>
        <w:t>重点支持领域：航空航天、电子信息、新材料、高端装备、农机装备、生物技术、现代农业等战略性新兴产业和前沿科技研发。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Chars="200" w:firstLine="640"/>
        <w:jc w:val="both"/>
        <w:rPr>
          <w:rFonts w:ascii="方正仿宋_GBK" w:hAnsi="方正仿宋_GBK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第六条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应确定至少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名具有相同或相近研究领域的高层次专家作为培养导师，承担对被托举人选的指导、扶持责任。</w:t>
      </w:r>
      <w:r>
        <w:rPr>
          <w:rFonts w:ascii="方正仿宋_GBK" w:hAnsi="方正仿宋_GBK"/>
          <w:sz w:val="32"/>
          <w:szCs w:val="32"/>
        </w:rPr>
        <w:t xml:space="preserve">  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Chars="200" w:firstLine="640"/>
        <w:jc w:val="both"/>
        <w:rPr>
          <w:rFonts w:ascii="方正仿宋_GBK" w:hAnsi="方正仿宋_GBK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第七条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方正仿宋_GBK" w:hAnsi="方正仿宋_GBK"/>
          <w:sz w:val="32"/>
          <w:szCs w:val="32"/>
        </w:rPr>
        <w:t>已入选其他国家级或省部级人才工程、计划、项目的人选不能入选托举工程项目，博士后相关资助计划除外。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jc w:val="center"/>
        <w:rPr>
          <w:rFonts w:ascii="CESI黑体-GB13000" w:hAnsi="CESI黑体-GB13000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第三章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CESI黑体-GB13000" w:hAnsi="CESI黑体-GB13000"/>
          <w:sz w:val="32"/>
          <w:szCs w:val="32"/>
        </w:rPr>
        <w:t>推荐与评审程序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方正仿宋_GBK" w:hAnsi="方正仿宋_GBK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第八条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托举工程候选人由推荐单位推荐产生，推荐单位为省科协所属省级学会，全省范围内的各高校科协、企业（园区）科协。同一人选不可同时通过两个或以上渠道推荐。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方正仿宋_GBK" w:hAnsi="方正仿宋_GBK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第九条</w:t>
      </w:r>
      <w:r>
        <w:rPr>
          <w:rFonts w:ascii="CESI黑体-GB13000" w:hAnsi="CESI黑体-GB13000"/>
          <w:sz w:val="32"/>
          <w:szCs w:val="32"/>
        </w:rPr>
        <w:t xml:space="preserve"> </w:t>
      </w:r>
      <w:r>
        <w:rPr>
          <w:rFonts w:ascii="方正仿宋_GBK" w:hAnsi="方正仿宋_GBK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省科协组织有关专家成立专家评审组，根据候选人科研实力和发展潜力、成长发展规划、项目实施单位托</w:t>
      </w:r>
      <w:r>
        <w:rPr>
          <w:rFonts w:ascii="仿宋_GB2312" w:hAnsi="仿宋_GB2312"/>
          <w:sz w:val="32"/>
          <w:szCs w:val="32"/>
        </w:rPr>
        <w:lastRenderedPageBreak/>
        <w:t>举条件以及培养导师科研水平等指标，进行综合评审，确定被托举人建议人选。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省科协对被托举人建议人选名单进行公示，公示期为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个工作日。公示期间接到投诉举报并查实的，将取消人选入选资格。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jc w:val="center"/>
        <w:rPr>
          <w:rFonts w:ascii="CESI黑体-GB13000" w:hAnsi="CESI黑体-GB13000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第四章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CESI黑体-GB13000" w:hAnsi="CESI黑体-GB13000"/>
          <w:sz w:val="32"/>
          <w:szCs w:val="32"/>
        </w:rPr>
        <w:t>托举工作职责与任务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第十一条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被托举人确定后，其所在单位即为项目实施单位，负责项目的具体实施工作。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第十二条</w:t>
      </w:r>
      <w:r>
        <w:rPr>
          <w:rFonts w:ascii="CESI黑体-GB13000" w:hAnsi="CESI黑体-GB13000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项目实施单位的主要职责为：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（一）履行对被托举人的培养、使用、激励主体责任，制定培养计划，推动项目实施，配合开展工作总结和绩效评价，并接受省科协对托举工程的监督和指导。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（二）主动参与被托举人的培养，在承担课题研究、开展技术攻关、奖项推荐、培训进修、参加学术交流活动等工作中，为被托举人提供支持保障。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第十三条</w:t>
      </w:r>
      <w:r>
        <w:rPr>
          <w:rFonts w:ascii="CESI黑体-GB13000" w:hAnsi="CESI黑体-GB13000"/>
          <w:sz w:val="32"/>
          <w:szCs w:val="32"/>
        </w:rPr>
        <w:t xml:space="preserve"> </w:t>
      </w:r>
      <w:r>
        <w:rPr>
          <w:rFonts w:ascii="方正仿宋_GBK" w:hAnsi="方正仿宋_GBK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培养导师的主要职责为：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（一）协助被托举人制定个人成长发展规划，对被托举人经费使用计划进行审核。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（二）在提升科研攻关能力、拓展科技视野、提升实践创新能力、遵守学术道德等方面，对被托举人的成长与发展进行指导。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方正仿宋_GBK" w:hAnsi="方正仿宋_GBK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（三）利用自身学术资源，为被托举人拓展对外交流渠道，提升学术能力，扩大学术影响。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第十四条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被托举人的主要任务为：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（一）制定个人成长发展规划及经费使用计划。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（二）落实发展规划任务，在承担科研项目、论文发表、专利研发、技术推广应用等工作中取得成长提升。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（三）配合省科协的监督和评价工作并及时反馈个人成长情况，积极完成省科协根据托举工程需要交办的相关事项。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（四）在项目期内公开发表的项目学术论文或研究报告应注明：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黑龙江省青年科技人才托举工程资助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字样。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第十五条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省科协的主要职责为：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（一）负责落实项目资金，并按时向项目实施单位进行拨付。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（二）将被托举人纳入联系专家人才范围，推荐其加入相关学术组织，邀请被托举人参加省科协组织的学术交流活动，提供创造跨学科、跨领域的交流机会，拓宽成长空间。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（三）对被托举人进行跟踪服务，帮助解决实际困难。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（四）负责对托举工作实施效果进行监督和评价。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jc w:val="center"/>
        <w:rPr>
          <w:rFonts w:ascii="CESI黑体-GB13000" w:hAnsi="CESI黑体-GB13000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第五章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CESI黑体-GB13000" w:hAnsi="CESI黑体-GB13000"/>
          <w:sz w:val="32"/>
          <w:szCs w:val="32"/>
        </w:rPr>
        <w:t>项目管理和经费使用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第十六条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项目实施单位应在接到通知后</w:t>
      </w:r>
      <w:r>
        <w:rPr>
          <w:rFonts w:ascii="仿宋_GB2312" w:hAnsi="仿宋_GB2312"/>
          <w:sz w:val="32"/>
          <w:szCs w:val="32"/>
        </w:rPr>
        <w:t>15</w:t>
      </w:r>
      <w:r>
        <w:rPr>
          <w:rFonts w:ascii="仿宋_GB2312" w:hAnsi="仿宋_GB2312"/>
          <w:sz w:val="32"/>
          <w:szCs w:val="32"/>
        </w:rPr>
        <w:t>天内，与省科协签署项目合同书，逾期按自动放弃处理。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第十七条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省科协对项目进行年度绩效评价和结项验收。项目实施单位、被托举人在项目实施一个年度后须向省科协报送托举工作进展情况。项目结束后</w:t>
      </w:r>
      <w:r>
        <w:rPr>
          <w:rFonts w:ascii="仿宋_GB2312" w:hAnsi="仿宋_GB2312"/>
          <w:sz w:val="32"/>
          <w:szCs w:val="32"/>
        </w:rPr>
        <w:t>1</w:t>
      </w:r>
      <w:r>
        <w:rPr>
          <w:rFonts w:ascii="仿宋_GB2312" w:hAnsi="仿宋_GB2312"/>
          <w:sz w:val="32"/>
          <w:szCs w:val="32"/>
        </w:rPr>
        <w:t>个月内，项目实施单位、被托举人须向省科协提交结项报告，主要包括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年工作总体情况、经费使用情况以及被托举人成长情况等内容。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第十八条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如被托举人出现因自身原因无法继续参与</w:t>
      </w:r>
      <w:r>
        <w:rPr>
          <w:rFonts w:ascii="仿宋_GB2312" w:hAnsi="仿宋_GB2312"/>
          <w:sz w:val="32"/>
          <w:szCs w:val="32"/>
        </w:rPr>
        <w:lastRenderedPageBreak/>
        <w:t>托举工程项目，发生违背科学道德、弄虚作假或触犯国家法律等行为受到处理等情况，省科协将取消被托举人资格，并收回剩余资金。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第十九条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省科协按照每位被托举人</w:t>
      </w:r>
      <w:r>
        <w:rPr>
          <w:rFonts w:ascii="仿宋_GB2312" w:hAnsi="仿宋_GB2312"/>
          <w:sz w:val="32"/>
          <w:szCs w:val="32"/>
        </w:rPr>
        <w:t>5</w:t>
      </w:r>
      <w:r>
        <w:rPr>
          <w:rFonts w:ascii="仿宋_GB2312" w:hAnsi="仿宋_GB2312"/>
          <w:sz w:val="32"/>
          <w:szCs w:val="32"/>
        </w:rPr>
        <w:t>万元标准给予经费支持，鼓励项目实施单位给予经费配套。资助经费使用执行省级财政经费相关管理规定，任何单位、个人不得截留、挪用或挤占，不得收取项目管理费。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第二十条</w:t>
      </w:r>
      <w:r>
        <w:rPr>
          <w:rFonts w:ascii="CESI黑体-GB13000" w:hAnsi="CESI黑体-GB13000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被托举人对项目经费有自主支配权，资助经费的使用范围主要包括：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="600"/>
        <w:textAlignment w:val="baseline"/>
        <w:rPr>
          <w:rFonts w:ascii="仿宋_GB2312" w:hAnsi="仿宋_GB2312" w:hint="eastAsia"/>
          <w:color w:val="333333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hAnsi="仿宋_GB2312"/>
          <w:sz w:val="32"/>
          <w:szCs w:val="32"/>
        </w:rPr>
        <w:t>被托举人</w:t>
      </w: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发起或召开的学术会议、学术沙龙等费用。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="600"/>
        <w:textAlignment w:val="baseline"/>
        <w:rPr>
          <w:rFonts w:ascii="仿宋_GB2312" w:hAnsi="仿宋_GB2312" w:hint="eastAsia"/>
          <w:color w:val="333333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（二）被托举人</w:t>
      </w: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开展科学试验、科学研究和科技调研等产生的材料费、印刷费等费用。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="600"/>
        <w:textAlignment w:val="baseline"/>
        <w:rPr>
          <w:rFonts w:ascii="仿宋_GB2312" w:hAnsi="仿宋_GB2312" w:hint="eastAsia"/>
          <w:color w:val="333333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（三）被托举人</w:t>
      </w: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所持有科技成果中试、转化等费用。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="600"/>
        <w:textAlignment w:val="baseline"/>
        <w:rPr>
          <w:rFonts w:ascii="仿宋_GB2312" w:hAnsi="仿宋_GB2312" w:hint="eastAsia"/>
          <w:color w:val="333333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（四）被托举人</w:t>
      </w: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第一作者或者通讯作者身份发表的论文和论文集等出版费用。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="600"/>
        <w:textAlignment w:val="baseline"/>
        <w:rPr>
          <w:rFonts w:ascii="仿宋_GB2312" w:hAnsi="仿宋_GB2312" w:hint="eastAsia"/>
          <w:color w:val="333333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（五）被托举人</w:t>
      </w: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参加国内外科研团队组织的科研攻关、学术交流等活动所产生的差旅费等开支。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="600"/>
        <w:textAlignment w:val="baseline"/>
        <w:rPr>
          <w:rFonts w:ascii="仿宋_GB2312" w:hAnsi="仿宋_GB2312" w:hint="eastAsia"/>
          <w:color w:val="333333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（六）被托举人</w:t>
      </w: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参加由重要国际科技组织发起或主办的国际会议以及由国内外高校、全国学会、企业等在优势学科、优势技术领域举办的短期培训班等类似活动的差旅费等开支。</w:t>
      </w:r>
    </w:p>
    <w:p w:rsidR="008A36F3" w:rsidRDefault="008A36F3" w:rsidP="008A36F3">
      <w:pPr>
        <w:pStyle w:val="a6"/>
        <w:widowControl/>
        <w:shd w:val="clear" w:color="auto" w:fill="FFFFFF"/>
        <w:autoSpaceDE w:val="0"/>
        <w:spacing w:line="560" w:lineRule="exact"/>
        <w:ind w:firstLine="600"/>
        <w:textAlignment w:val="baseline"/>
        <w:rPr>
          <w:rFonts w:ascii="仿宋_GB2312" w:hAnsi="仿宋_GB2312" w:hint="eastAsia"/>
          <w:color w:val="333333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（七）其他用于</w:t>
      </w:r>
      <w:r>
        <w:rPr>
          <w:rFonts w:ascii="仿宋_GB2312" w:hAnsi="仿宋_GB2312"/>
          <w:sz w:val="32"/>
          <w:szCs w:val="32"/>
        </w:rPr>
        <w:t>被托举人</w:t>
      </w:r>
      <w:r>
        <w:rPr>
          <w:rFonts w:ascii="仿宋_GB2312" w:hAnsi="仿宋_GB2312"/>
          <w:color w:val="000000"/>
          <w:sz w:val="32"/>
          <w:szCs w:val="32"/>
          <w:shd w:val="clear" w:color="auto" w:fill="FFFFFF"/>
        </w:rPr>
        <w:t>学术水平和能力提升的费用。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第二十一条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资助资金不得用于以下开支：</w:t>
      </w:r>
    </w:p>
    <w:p w:rsidR="008A36F3" w:rsidRDefault="008A36F3" w:rsidP="008A36F3">
      <w:pPr>
        <w:pStyle w:val="a0"/>
        <w:numPr>
          <w:ilvl w:val="0"/>
          <w:numId w:val="1"/>
        </w:numPr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lastRenderedPageBreak/>
        <w:t>对外投资。</w:t>
      </w:r>
    </w:p>
    <w:p w:rsidR="008A36F3" w:rsidRDefault="008A36F3" w:rsidP="008A36F3">
      <w:pPr>
        <w:pStyle w:val="a0"/>
        <w:numPr>
          <w:ilvl w:val="0"/>
          <w:numId w:val="1"/>
        </w:numPr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罚款、还贷。</w:t>
      </w:r>
    </w:p>
    <w:p w:rsidR="008A36F3" w:rsidRDefault="008A36F3" w:rsidP="008A36F3">
      <w:pPr>
        <w:pStyle w:val="a0"/>
        <w:numPr>
          <w:ilvl w:val="0"/>
          <w:numId w:val="1"/>
        </w:numPr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捐款、赞助。</w:t>
      </w:r>
    </w:p>
    <w:p w:rsidR="008A36F3" w:rsidRDefault="008A36F3" w:rsidP="008A36F3">
      <w:pPr>
        <w:pStyle w:val="a0"/>
        <w:numPr>
          <w:ilvl w:val="0"/>
          <w:numId w:val="1"/>
        </w:numPr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人员工资、福利支出。</w:t>
      </w:r>
    </w:p>
    <w:p w:rsidR="008A36F3" w:rsidRDefault="008A36F3" w:rsidP="008A36F3">
      <w:pPr>
        <w:pStyle w:val="a0"/>
        <w:numPr>
          <w:ilvl w:val="0"/>
          <w:numId w:val="1"/>
        </w:numPr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与托举工程项目无关的其他支出。</w:t>
      </w:r>
    </w:p>
    <w:p w:rsidR="008A36F3" w:rsidRDefault="008A36F3" w:rsidP="008A36F3">
      <w:pPr>
        <w:pStyle w:val="a0"/>
        <w:numPr>
          <w:ilvl w:val="0"/>
          <w:numId w:val="1"/>
        </w:numPr>
        <w:autoSpaceDE w:val="0"/>
        <w:spacing w:after="0" w:line="560" w:lineRule="exact"/>
        <w:ind w:firstLineChars="200" w:firstLine="640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其他违反财经纪律的用途。</w:t>
      </w:r>
    </w:p>
    <w:p w:rsidR="008A36F3" w:rsidRDefault="008A36F3" w:rsidP="008A36F3">
      <w:pPr>
        <w:pStyle w:val="a0"/>
        <w:numPr>
          <w:ilvl w:val="0"/>
          <w:numId w:val="2"/>
        </w:numPr>
        <w:autoSpaceDE w:val="0"/>
        <w:spacing w:after="0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附则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方正仿宋_GBK" w:hAnsi="方正仿宋_GBK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第二十二条</w:t>
      </w:r>
      <w:r>
        <w:rPr>
          <w:rFonts w:ascii="CESI黑体-GB13000" w:hAnsi="CESI黑体-GB13000"/>
          <w:sz w:val="32"/>
          <w:szCs w:val="32"/>
        </w:rPr>
        <w:t xml:space="preserve"> </w:t>
      </w:r>
      <w:r>
        <w:rPr>
          <w:rFonts w:ascii="方正仿宋_GBK" w:hAnsi="方正仿宋_GBK"/>
          <w:sz w:val="32"/>
          <w:szCs w:val="32"/>
        </w:rPr>
        <w:t xml:space="preserve"> </w:t>
      </w:r>
      <w:r>
        <w:rPr>
          <w:rFonts w:ascii="仿宋_GB2312" w:hAnsi="仿宋_GB2312"/>
          <w:sz w:val="32"/>
          <w:szCs w:val="32"/>
        </w:rPr>
        <w:t>本办法由省科协负责解释。</w:t>
      </w:r>
    </w:p>
    <w:p w:rsidR="008A36F3" w:rsidRDefault="008A36F3" w:rsidP="008A36F3">
      <w:pPr>
        <w:pStyle w:val="a0"/>
        <w:autoSpaceDE w:val="0"/>
        <w:spacing w:after="0" w:line="560" w:lineRule="exact"/>
        <w:ind w:firstLineChars="200" w:firstLine="640"/>
        <w:rPr>
          <w:rFonts w:ascii="方正仿宋_GBK" w:hAnsi="方正仿宋_GBK" w:hint="eastAsia"/>
          <w:sz w:val="32"/>
          <w:szCs w:val="32"/>
        </w:rPr>
      </w:pPr>
      <w:r>
        <w:rPr>
          <w:rFonts w:ascii="CESI黑体-GB13000" w:hAnsi="CESI黑体-GB13000"/>
          <w:sz w:val="32"/>
          <w:szCs w:val="32"/>
        </w:rPr>
        <w:t>第二十三条</w:t>
      </w:r>
      <w:r>
        <w:rPr>
          <w:rFonts w:ascii="方正仿宋_GBK" w:hAnsi="方正仿宋_GBK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本办法自印发之日起施行。</w:t>
      </w:r>
    </w:p>
    <w:p w:rsidR="005C556B" w:rsidRPr="00B86121" w:rsidRDefault="008A36F3" w:rsidP="00B86121">
      <w:pPr>
        <w:autoSpaceDE w:val="0"/>
        <w:spacing w:line="560" w:lineRule="exact"/>
        <w:ind w:firstLineChars="200" w:firstLine="640"/>
        <w:jc w:val="center"/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  <w:bookmarkStart w:id="0" w:name="_GoBack"/>
      <w:bookmarkEnd w:id="0"/>
    </w:p>
    <w:sectPr w:rsidR="005C556B" w:rsidRPr="00B8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54" w:rsidRDefault="007B4754" w:rsidP="008A36F3">
      <w:r>
        <w:separator/>
      </w:r>
    </w:p>
  </w:endnote>
  <w:endnote w:type="continuationSeparator" w:id="0">
    <w:p w:rsidR="007B4754" w:rsidRDefault="007B4754" w:rsidP="008A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ESI黑体-GB13000">
    <w:altName w:val="Calibri"/>
    <w:charset w:val="00"/>
    <w:family w:val="auto"/>
    <w:pitch w:val="default"/>
  </w:font>
  <w:font w:name="方正仿宋_GBK">
    <w:altName w:val="微软雅黑"/>
    <w:charset w:val="00"/>
    <w:family w:val="auto"/>
    <w:pitch w:val="default"/>
  </w:font>
  <w:font w:name="CESI仿宋-GB2312">
    <w:altName w:val="Calibri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54" w:rsidRDefault="007B4754" w:rsidP="008A36F3">
      <w:r>
        <w:separator/>
      </w:r>
    </w:p>
  </w:footnote>
  <w:footnote w:type="continuationSeparator" w:id="0">
    <w:p w:rsidR="007B4754" w:rsidRDefault="007B4754" w:rsidP="008A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336C"/>
    <w:multiLevelType w:val="multilevel"/>
    <w:tmpl w:val="CD2A83A0"/>
    <w:lvl w:ilvl="0">
      <w:start w:val="6"/>
      <w:numFmt w:val="chineseCounting"/>
      <w:suff w:val="space"/>
      <w:lvlText w:val="第%1章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02016"/>
    <w:multiLevelType w:val="multilevel"/>
    <w:tmpl w:val="2984F284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76"/>
    <w:rsid w:val="00094C76"/>
    <w:rsid w:val="005976A0"/>
    <w:rsid w:val="00665D41"/>
    <w:rsid w:val="007B4754"/>
    <w:rsid w:val="008A36F3"/>
    <w:rsid w:val="00B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B84583-56C9-4E35-9E0A-1E587B41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A36F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A3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A36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3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A36F3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rsid w:val="008A36F3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8A36F3"/>
    <w:rPr>
      <w:rFonts w:ascii="Calibri" w:eastAsia="宋体" w:hAnsi="Calibri" w:cs="Times New Roman"/>
      <w:szCs w:val="21"/>
    </w:rPr>
  </w:style>
  <w:style w:type="paragraph" w:styleId="a6">
    <w:name w:val="Normal (Web)"/>
    <w:basedOn w:val="a"/>
    <w:uiPriority w:val="99"/>
    <w:unhideWhenUsed/>
    <w:rsid w:val="008A36F3"/>
    <w:pPr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Tearl Xu (徐传贺)</dc:creator>
  <cp:keywords/>
  <dc:description/>
  <cp:lastModifiedBy>Tearl Xu (徐传贺)</cp:lastModifiedBy>
  <cp:revision>3</cp:revision>
  <dcterms:created xsi:type="dcterms:W3CDTF">2022-08-30T07:09:00Z</dcterms:created>
  <dcterms:modified xsi:type="dcterms:W3CDTF">2022-08-30T07:10:00Z</dcterms:modified>
</cp:coreProperties>
</file>